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b/>
          <w:sz w:val="32"/>
          <w:szCs w:val="32"/>
        </w:rPr>
      </w:pPr>
      <w:r>
        <w:rPr>
          <w:rFonts w:hint="eastAsia" w:ascii="宋体" w:hAnsi="宋体" w:cs="宋体"/>
          <w:b/>
          <w:sz w:val="32"/>
          <w:szCs w:val="32"/>
        </w:rPr>
        <w:t>附件1：</w:t>
      </w:r>
    </w:p>
    <w:p>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pPr>
        <w:spacing w:line="480" w:lineRule="exact"/>
        <w:rPr>
          <w:rFonts w:ascii="宋体" w:hAnsi="宋体" w:cs="宋体"/>
          <w:sz w:val="28"/>
          <w:szCs w:val="28"/>
        </w:rPr>
      </w:pPr>
      <w:r>
        <w:rPr>
          <w:rFonts w:hint="eastAsia" w:ascii="宋体" w:hAnsi="宋体" w:cs="宋体"/>
          <w:b/>
          <w:bCs/>
          <w:sz w:val="28"/>
          <w:szCs w:val="28"/>
          <w:u w:val="single"/>
          <w:lang w:val="en-US" w:eastAsia="zh-CN"/>
        </w:rPr>
        <w:t>江苏晟湖投资建设有限公司</w:t>
      </w:r>
      <w:r>
        <w:rPr>
          <w:rFonts w:hint="eastAsia" w:ascii="宋体" w:hAnsi="宋体" w:cs="宋体"/>
          <w:sz w:val="28"/>
          <w:szCs w:val="28"/>
        </w:rPr>
        <w:t>：</w:t>
      </w:r>
    </w:p>
    <w:p>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pPr>
        <w:spacing w:line="480" w:lineRule="exact"/>
        <w:ind w:firstLine="560" w:firstLineChars="200"/>
        <w:rPr>
          <w:rFonts w:ascii="宋体" w:hAnsi="宋体" w:cs="宋体"/>
          <w:sz w:val="28"/>
          <w:szCs w:val="28"/>
        </w:rPr>
      </w:pPr>
    </w:p>
    <w:p>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pPr>
        <w:spacing w:line="480" w:lineRule="exact"/>
        <w:ind w:firstLine="560" w:firstLineChars="200"/>
        <w:jc w:val="right"/>
        <w:rPr>
          <w:rFonts w:ascii="宋体" w:hAnsi="宋体" w:cs="宋体"/>
          <w:sz w:val="28"/>
          <w:szCs w:val="28"/>
        </w:rPr>
      </w:pPr>
      <w:r>
        <w:rPr>
          <w:rFonts w:hint="eastAsia" w:ascii="宋体" w:hAnsi="宋体" w:cs="宋体"/>
          <w:sz w:val="28"/>
          <w:szCs w:val="28"/>
        </w:rPr>
        <w:t xml:space="preserve">2025年 </w:t>
      </w:r>
      <w:r>
        <w:rPr>
          <w:rFonts w:hint="eastAsia" w:ascii="宋体" w:hAnsi="宋体" w:cs="宋体"/>
          <w:sz w:val="28"/>
          <w:szCs w:val="28"/>
          <w:lang w:val="en-US" w:eastAsia="zh-CN"/>
        </w:rPr>
        <w:t>12</w:t>
      </w:r>
      <w:r>
        <w:rPr>
          <w:rFonts w:hint="eastAsia" w:ascii="宋体" w:hAnsi="宋体" w:cs="宋体"/>
          <w:sz w:val="28"/>
          <w:szCs w:val="28"/>
        </w:rPr>
        <w:t>月    日</w:t>
      </w:r>
    </w:p>
    <w:p>
      <w:pPr>
        <w:pStyle w:val="7"/>
        <w:ind w:left="0" w:leftChars="0" w:firstLine="0" w:firstLineChars="0"/>
        <w:rPr>
          <w:rFonts w:ascii="宋体" w:hAnsi="宋体" w:cs="宋体"/>
        </w:rPr>
      </w:pPr>
    </w:p>
    <w:p>
      <w:pPr>
        <w:spacing w:line="440" w:lineRule="exact"/>
        <w:rPr>
          <w:rFonts w:ascii="宋体" w:hAnsi="宋体" w:cs="宋体"/>
          <w:b/>
          <w:sz w:val="28"/>
        </w:rPr>
      </w:pPr>
    </w:p>
    <w:p>
      <w:pPr>
        <w:spacing w:line="440" w:lineRule="exact"/>
        <w:rPr>
          <w:rFonts w:ascii="宋体" w:hAnsi="宋体" w:cs="宋体"/>
          <w:b/>
          <w:sz w:val="28"/>
        </w:rPr>
      </w:pPr>
    </w:p>
    <w:p>
      <w:pPr>
        <w:spacing w:line="360" w:lineRule="auto"/>
        <w:rPr>
          <w:rFonts w:ascii="宋体" w:hAnsi="宋体" w:cs="宋体"/>
          <w:b/>
          <w:sz w:val="32"/>
          <w:szCs w:val="32"/>
        </w:rPr>
      </w:pPr>
      <w:r>
        <w:rPr>
          <w:rFonts w:hint="eastAsia" w:ascii="宋体" w:hAnsi="宋体" w:cs="宋体"/>
          <w:b/>
          <w:sz w:val="32"/>
          <w:szCs w:val="32"/>
        </w:rPr>
        <w:t>附件2：</w:t>
      </w:r>
    </w:p>
    <w:p>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pPr>
        <w:spacing w:line="480" w:lineRule="exact"/>
        <w:rPr>
          <w:rFonts w:ascii="宋体" w:hAnsi="宋体" w:cs="宋体"/>
          <w:sz w:val="28"/>
          <w:szCs w:val="28"/>
        </w:rPr>
      </w:pPr>
      <w:r>
        <w:rPr>
          <w:rFonts w:hint="eastAsia" w:ascii="宋体" w:hAnsi="宋体" w:cs="宋体"/>
          <w:b/>
          <w:bCs/>
          <w:sz w:val="28"/>
          <w:szCs w:val="28"/>
          <w:u w:val="single"/>
          <w:lang w:val="en-US" w:eastAsia="zh-CN"/>
        </w:rPr>
        <w:t>江苏晟湖投资建设有限公司</w:t>
      </w:r>
      <w:r>
        <w:rPr>
          <w:rFonts w:hint="eastAsia" w:ascii="宋体" w:hAnsi="宋体" w:cs="宋体"/>
          <w:sz w:val="28"/>
          <w:szCs w:val="28"/>
        </w:rPr>
        <w:t>：</w:t>
      </w:r>
    </w:p>
    <w:p>
      <w:pPr>
        <w:pStyle w:val="11"/>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rPr>
        <w:t>慎重</w:t>
      </w:r>
      <w:r>
        <w:rPr>
          <w:rFonts w:hint="eastAsia" w:ascii="宋体" w:hAnsi="宋体" w:cs="宋体"/>
          <w:sz w:val="28"/>
          <w:szCs w:val="28"/>
        </w:rPr>
        <w:t>作出以下承诺：</w:t>
      </w:r>
    </w:p>
    <w:p>
      <w:pPr>
        <w:pStyle w:val="11"/>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pPr>
        <w:pStyle w:val="11"/>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pPr>
        <w:pStyle w:val="11"/>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pPr>
        <w:pStyle w:val="11"/>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pPr>
        <w:pStyle w:val="11"/>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pPr>
        <w:pStyle w:val="11"/>
        <w:spacing w:line="480" w:lineRule="exact"/>
        <w:rPr>
          <w:rFonts w:ascii="宋体" w:hAnsi="宋体" w:cs="宋体"/>
          <w:sz w:val="28"/>
          <w:szCs w:val="28"/>
        </w:rPr>
      </w:pPr>
    </w:p>
    <w:p>
      <w:pPr>
        <w:pStyle w:val="11"/>
        <w:spacing w:line="480" w:lineRule="exact"/>
        <w:rPr>
          <w:rFonts w:ascii="宋体" w:hAnsi="宋体" w:cs="宋体"/>
          <w:sz w:val="28"/>
          <w:szCs w:val="28"/>
        </w:rPr>
      </w:pPr>
    </w:p>
    <w:p>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pPr>
        <w:pStyle w:val="11"/>
        <w:spacing w:line="480" w:lineRule="exact"/>
        <w:rPr>
          <w:rFonts w:ascii="宋体" w:hAnsi="宋体" w:cs="宋体"/>
          <w:sz w:val="28"/>
          <w:szCs w:val="28"/>
        </w:rPr>
      </w:pPr>
      <w:r>
        <w:rPr>
          <w:rFonts w:hint="eastAsia" w:ascii="宋体" w:hAnsi="宋体" w:cs="宋体"/>
          <w:sz w:val="28"/>
          <w:szCs w:val="28"/>
        </w:rPr>
        <w:t xml:space="preserve">                      </w:t>
      </w:r>
    </w:p>
    <w:p>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pPr>
        <w:pStyle w:val="11"/>
        <w:spacing w:line="480" w:lineRule="exact"/>
        <w:rPr>
          <w:rFonts w:hint="eastAsia" w:ascii="宋体" w:hAnsi="宋体" w:cs="宋体"/>
          <w:color w:val="666666"/>
          <w:sz w:val="28"/>
          <w:szCs w:val="28"/>
        </w:rPr>
      </w:pPr>
    </w:p>
    <w:p>
      <w:pPr>
        <w:pStyle w:val="11"/>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 xml:space="preserve">2025 年 </w:t>
      </w:r>
      <w:r>
        <w:rPr>
          <w:rFonts w:hint="eastAsia" w:ascii="宋体" w:hAnsi="宋体" w:cs="宋体"/>
          <w:sz w:val="28"/>
          <w:szCs w:val="28"/>
          <w:lang w:val="en-US" w:eastAsia="zh-CN"/>
        </w:rPr>
        <w:t>12</w:t>
      </w:r>
      <w:r>
        <w:rPr>
          <w:rFonts w:hint="eastAsia" w:ascii="宋体" w:hAnsi="宋体" w:cs="宋体"/>
          <w:sz w:val="28"/>
          <w:szCs w:val="28"/>
        </w:rPr>
        <w:t>月    日</w:t>
      </w:r>
    </w:p>
    <w:p>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tbl>
      <w:tblPr>
        <w:tblStyle w:val="8"/>
        <w:tblpPr w:leftFromText="180" w:rightFromText="180" w:vertAnchor="text" w:horzAnchor="page" w:tblpXSpec="center" w:tblpY="1550"/>
        <w:tblOverlap w:val="never"/>
        <w:tblW w:w="57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4423"/>
        <w:gridCol w:w="2313"/>
        <w:gridCol w:w="2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8" w:type="dxa"/>
            <w:vAlign w:val="center"/>
          </w:tcPr>
          <w:p>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418" w:type="dxa"/>
            <w:vAlign w:val="center"/>
          </w:tcPr>
          <w:p>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310" w:type="dxa"/>
            <w:shd w:val="clear" w:color="auto" w:fill="auto"/>
            <w:vAlign w:val="center"/>
          </w:tcPr>
          <w:p>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rPr>
              <w:t>总价/元</w:t>
            </w:r>
          </w:p>
        </w:tc>
        <w:tc>
          <w:tcPr>
            <w:tcW w:w="2270" w:type="dxa"/>
            <w:vAlign w:val="center"/>
          </w:tcPr>
          <w:p>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8" w:type="dxa"/>
            <w:vAlign w:val="center"/>
          </w:tcPr>
          <w:p>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418" w:type="dxa"/>
            <w:shd w:val="clear" w:color="auto" w:fill="auto"/>
            <w:vAlign w:val="center"/>
          </w:tcPr>
          <w:p>
            <w:pPr>
              <w:kinsoku w:val="0"/>
              <w:autoSpaceDE w:val="0"/>
              <w:autoSpaceDN w:val="0"/>
              <w:adjustRightInd w:val="0"/>
              <w:spacing w:before="76"/>
              <w:jc w:val="center"/>
              <w:rPr>
                <w:rFonts w:hint="default" w:ascii="宋体" w:hAnsi="宋体" w:cs="宋体"/>
                <w:bCs/>
                <w:snapToGrid w:val="0"/>
                <w:spacing w:val="-2"/>
                <w:kern w:val="0"/>
                <w:sz w:val="24"/>
                <w:lang w:val="en-US"/>
              </w:rPr>
            </w:pPr>
            <w:r>
              <w:rPr>
                <w:rFonts w:hint="eastAsia" w:ascii="宋体" w:hAnsi="宋体" w:eastAsia="宋体" w:cs="宋体"/>
                <w:color w:val="auto"/>
                <w:sz w:val="24"/>
                <w:szCs w:val="32"/>
                <w:u w:val="none"/>
                <w:lang w:val="en-US" w:eastAsia="zh-CN"/>
              </w:rPr>
              <w:t>东晟产业园房屋及屋顶租金评估</w:t>
            </w:r>
            <w:r>
              <w:rPr>
                <w:rFonts w:hint="eastAsia" w:ascii="宋体" w:hAnsi="宋体" w:cs="宋体"/>
                <w:color w:val="auto"/>
                <w:sz w:val="24"/>
                <w:szCs w:val="32"/>
                <w:u w:val="none"/>
                <w:lang w:val="en-US" w:eastAsia="zh-CN"/>
              </w:rPr>
              <w:t>项目</w:t>
            </w:r>
          </w:p>
        </w:tc>
        <w:tc>
          <w:tcPr>
            <w:tcW w:w="2310" w:type="dxa"/>
            <w:shd w:val="clear" w:color="auto" w:fill="auto"/>
            <w:vAlign w:val="center"/>
          </w:tcPr>
          <w:p>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270" w:type="dxa"/>
            <w:shd w:val="clear" w:color="auto" w:fill="auto"/>
            <w:vAlign w:val="center"/>
          </w:tcPr>
          <w:p>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8" w:type="dxa"/>
            <w:vAlign w:val="center"/>
          </w:tcPr>
          <w:p>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r>
              <w:rPr>
                <w:rFonts w:hint="eastAsia" w:ascii="宋体" w:hAnsi="宋体" w:cs="宋体"/>
                <w:bCs/>
                <w:snapToGrid w:val="0"/>
                <w:spacing w:val="-4"/>
                <w:kern w:val="0"/>
                <w:sz w:val="24"/>
                <w:lang w:val="en-US" w:eastAsia="zh-CN"/>
              </w:rPr>
              <w:t>2</w:t>
            </w:r>
          </w:p>
        </w:tc>
        <w:tc>
          <w:tcPr>
            <w:tcW w:w="4418" w:type="dxa"/>
            <w:shd w:val="clear" w:color="auto" w:fill="auto"/>
            <w:vAlign w:val="center"/>
          </w:tcPr>
          <w:p>
            <w:pPr>
              <w:kinsoku w:val="0"/>
              <w:autoSpaceDE w:val="0"/>
              <w:autoSpaceDN w:val="0"/>
              <w:adjustRightInd w:val="0"/>
              <w:spacing w:before="76"/>
              <w:jc w:val="center"/>
              <w:rPr>
                <w:rFonts w:hint="eastAsia" w:ascii="宋体" w:hAnsi="宋体" w:cs="宋体"/>
                <w:sz w:val="24"/>
                <w:lang w:val="en-US" w:eastAsia="zh-CN"/>
              </w:rPr>
            </w:pPr>
            <w:r>
              <w:rPr>
                <w:rFonts w:hint="eastAsia" w:ascii="宋体" w:hAnsi="宋体" w:eastAsia="宋体" w:cs="宋体"/>
                <w:color w:val="auto"/>
                <w:sz w:val="24"/>
                <w:szCs w:val="32"/>
                <w:u w:val="none"/>
                <w:lang w:val="en-US" w:eastAsia="zh-CN"/>
              </w:rPr>
              <w:t>吴江产业园房屋及屋顶租金评估</w:t>
            </w:r>
            <w:r>
              <w:rPr>
                <w:rFonts w:hint="eastAsia" w:ascii="宋体" w:hAnsi="宋体" w:cs="宋体"/>
                <w:color w:val="auto"/>
                <w:sz w:val="24"/>
                <w:szCs w:val="32"/>
                <w:u w:val="none"/>
                <w:lang w:val="en-US" w:eastAsia="zh-CN"/>
              </w:rPr>
              <w:t>项目</w:t>
            </w:r>
          </w:p>
        </w:tc>
        <w:tc>
          <w:tcPr>
            <w:tcW w:w="2310" w:type="dxa"/>
            <w:shd w:val="clear" w:color="auto" w:fill="auto"/>
            <w:vAlign w:val="center"/>
          </w:tcPr>
          <w:p>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270" w:type="dxa"/>
            <w:shd w:val="clear" w:color="auto" w:fill="auto"/>
            <w:vAlign w:val="center"/>
          </w:tcPr>
          <w:p>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9616" w:type="dxa"/>
            <w:gridSpan w:val="4"/>
            <w:vAlign w:val="center"/>
          </w:tcPr>
          <w:p>
            <w:pPr>
              <w:kinsoku w:val="0"/>
              <w:autoSpaceDE w:val="0"/>
              <w:autoSpaceDN w:val="0"/>
              <w:adjustRightInd w:val="0"/>
              <w:spacing w:before="58" w:line="340" w:lineRule="auto"/>
              <w:ind w:firstLine="482" w:firstLineChars="200"/>
              <w:jc w:val="center"/>
              <w:rPr>
                <w:rFonts w:hint="eastAsia" w:ascii="宋体" w:hAnsi="宋体" w:eastAsia="宋体" w:cs="宋体"/>
                <w:b/>
                <w:bCs/>
                <w:kern w:val="0"/>
                <w:sz w:val="24"/>
                <w:u w:val="single"/>
                <w:lang w:val="en-US" w:eastAsia="zh-CN"/>
              </w:rPr>
            </w:pPr>
            <w:r>
              <w:rPr>
                <w:rFonts w:hint="eastAsia" w:ascii="宋体" w:hAnsi="宋体" w:cs="宋体"/>
                <w:b/>
                <w:bCs/>
                <w:kern w:val="0"/>
                <w:sz w:val="24"/>
              </w:rPr>
              <w:t>合计（含税）</w:t>
            </w:r>
            <w:r>
              <w:rPr>
                <w:rFonts w:hint="eastAsia" w:ascii="宋体" w:hAnsi="宋体" w:cs="宋体"/>
                <w:b/>
                <w:bCs/>
                <w:kern w:val="0"/>
                <w:sz w:val="24"/>
                <w:lang w:val="en-US" w:eastAsia="zh-CN"/>
              </w:rPr>
              <w:t>小写金额</w:t>
            </w:r>
            <w:r>
              <w:rPr>
                <w:rFonts w:hint="eastAsia" w:ascii="宋体" w:hAnsi="宋体" w:cs="宋体"/>
                <w:b/>
                <w:bCs/>
                <w:kern w:val="0"/>
                <w:sz w:val="24"/>
              </w:rPr>
              <w:t>：</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r>
              <w:rPr>
                <w:rFonts w:hint="eastAsia" w:ascii="宋体" w:hAnsi="宋体" w:cs="宋体"/>
                <w:b/>
                <w:bCs/>
                <w:kern w:val="0"/>
                <w:sz w:val="24"/>
                <w:u w:val="none"/>
              </w:rPr>
              <w:t>元</w:t>
            </w:r>
            <w:r>
              <w:rPr>
                <w:rFonts w:hint="eastAsia" w:ascii="宋体" w:hAnsi="宋体" w:cs="宋体"/>
                <w:b/>
                <w:bCs/>
                <w:kern w:val="0"/>
                <w:sz w:val="24"/>
                <w:u w:val="none"/>
                <w:lang w:eastAsia="zh-CN"/>
              </w:rPr>
              <w:t>，</w:t>
            </w:r>
            <w:r>
              <w:rPr>
                <w:rFonts w:hint="eastAsia" w:ascii="宋体" w:hAnsi="宋体" w:cs="宋体"/>
                <w:b/>
                <w:bCs/>
                <w:kern w:val="0"/>
                <w:sz w:val="24"/>
                <w:u w:val="none"/>
                <w:lang w:val="en-US" w:eastAsia="zh-CN"/>
              </w:rPr>
              <w:t>大写金额：</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r>
              <w:rPr>
                <w:rFonts w:hint="eastAsia" w:ascii="宋体" w:hAnsi="宋体" w:cs="宋体"/>
                <w:b/>
                <w:bCs/>
                <w:kern w:val="0"/>
                <w:sz w:val="24"/>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9" w:hRule="atLeast"/>
          <w:jc w:val="center"/>
        </w:trPr>
        <w:tc>
          <w:tcPr>
            <w:tcW w:w="9616" w:type="dxa"/>
            <w:gridSpan w:val="4"/>
            <w:vAlign w:val="center"/>
          </w:tcPr>
          <w:p>
            <w:pPr>
              <w:kinsoku w:val="0"/>
              <w:autoSpaceDE w:val="0"/>
              <w:autoSpaceDN w:val="0"/>
              <w:adjustRightInd w:val="0"/>
              <w:spacing w:before="58" w:line="340" w:lineRule="auto"/>
              <w:rPr>
                <w:rFonts w:hint="eastAsia" w:ascii="宋体" w:hAnsi="宋体" w:cs="宋体"/>
                <w:b/>
                <w:bCs/>
                <w:sz w:val="24"/>
                <w:szCs w:val="24"/>
                <w:highlight w:val="none"/>
              </w:rPr>
            </w:pPr>
            <w:r>
              <w:rPr>
                <w:rFonts w:hint="eastAsia" w:ascii="宋体" w:hAnsi="宋体" w:cs="宋体"/>
                <w:b/>
                <w:bCs/>
                <w:kern w:val="0"/>
                <w:sz w:val="24"/>
                <w:szCs w:val="24"/>
                <w:highlight w:val="none"/>
              </w:rPr>
              <w:t>备注</w:t>
            </w:r>
            <w:r>
              <w:rPr>
                <w:rFonts w:hint="eastAsia" w:ascii="宋体" w:hAnsi="宋体" w:cs="宋体"/>
                <w:b/>
                <w:bCs/>
                <w:sz w:val="24"/>
                <w:szCs w:val="24"/>
                <w:highlight w:val="none"/>
              </w:rPr>
              <w:t>：</w:t>
            </w:r>
            <w:bookmarkStart w:id="0" w:name="OLE_LINK1"/>
            <w:r>
              <w:rPr>
                <w:rFonts w:hint="eastAsia" w:ascii="宋体" w:hAnsi="宋体" w:cs="宋体"/>
                <w:b/>
                <w:bCs/>
                <w:sz w:val="24"/>
                <w:szCs w:val="24"/>
                <w:highlight w:val="none"/>
              </w:rPr>
              <w:t>报价含（但不限于）差旅费、现场考察费、背景调查费、</w:t>
            </w:r>
            <w:r>
              <w:rPr>
                <w:rFonts w:hint="eastAsia" w:ascii="宋体" w:hAnsi="宋体" w:cs="宋体"/>
                <w:b/>
                <w:bCs/>
                <w:sz w:val="24"/>
                <w:szCs w:val="24"/>
                <w:highlight w:val="none"/>
                <w:lang w:val="en-US" w:eastAsia="zh-CN"/>
              </w:rPr>
              <w:t>租金评估</w:t>
            </w:r>
            <w:r>
              <w:rPr>
                <w:rFonts w:hint="eastAsia" w:ascii="宋体" w:hAnsi="宋体" w:cs="宋体"/>
                <w:b/>
                <w:bCs/>
                <w:sz w:val="24"/>
                <w:szCs w:val="24"/>
                <w:highlight w:val="none"/>
              </w:rPr>
              <w:t>编制费（采购单位有权要求供应商在出具</w:t>
            </w:r>
            <w:r>
              <w:rPr>
                <w:rFonts w:hint="eastAsia" w:ascii="宋体" w:hAnsi="宋体" w:cs="宋体"/>
                <w:b/>
                <w:bCs/>
                <w:sz w:val="24"/>
                <w:szCs w:val="24"/>
                <w:highlight w:val="none"/>
                <w:lang w:val="en-US" w:eastAsia="zh-CN"/>
              </w:rPr>
              <w:t>租金评估</w:t>
            </w:r>
            <w:r>
              <w:rPr>
                <w:rFonts w:hint="eastAsia" w:ascii="宋体" w:hAnsi="宋体" w:cs="宋体"/>
                <w:b/>
                <w:bCs/>
                <w:sz w:val="24"/>
                <w:szCs w:val="24"/>
                <w:highlight w:val="none"/>
              </w:rPr>
              <w:t>报告后进行反复修改）</w:t>
            </w:r>
            <w:bookmarkEnd w:id="0"/>
            <w:r>
              <w:rPr>
                <w:rFonts w:hint="eastAsia" w:ascii="宋体" w:hAnsi="宋体" w:cs="宋体"/>
                <w:b/>
                <w:bCs/>
                <w:sz w:val="24"/>
                <w:szCs w:val="24"/>
                <w:highlight w:val="none"/>
              </w:rPr>
              <w:t>及税金等一切费用。</w:t>
            </w:r>
          </w:p>
          <w:p>
            <w:pPr>
              <w:kinsoku w:val="0"/>
              <w:autoSpaceDE w:val="0"/>
              <w:autoSpaceDN w:val="0"/>
              <w:adjustRightInd w:val="0"/>
              <w:spacing w:before="58" w:line="340" w:lineRule="auto"/>
              <w:rPr>
                <w:rFonts w:hint="eastAsia" w:ascii="宋体" w:hAnsi="宋体" w:cs="宋体"/>
                <w:b/>
                <w:bCs/>
                <w:sz w:val="24"/>
                <w:szCs w:val="24"/>
                <w:highlight w:val="none"/>
                <w:lang w:eastAsia="zh-CN"/>
              </w:rPr>
            </w:pPr>
            <w:r>
              <w:rPr>
                <w:rFonts w:hint="eastAsia" w:ascii="宋体" w:hAnsi="宋体" w:eastAsia="宋体" w:cs="宋体"/>
                <w:b/>
                <w:bCs/>
                <w:sz w:val="24"/>
                <w:szCs w:val="24"/>
              </w:rPr>
              <w:t>报价不</w:t>
            </w:r>
            <w:r>
              <w:rPr>
                <w:rFonts w:hint="eastAsia" w:ascii="宋体" w:hAnsi="宋体" w:cs="宋体"/>
                <w:b/>
                <w:bCs/>
                <w:sz w:val="24"/>
                <w:szCs w:val="24"/>
                <w:lang w:val="en-US" w:eastAsia="zh-CN"/>
              </w:rPr>
              <w:t>得</w:t>
            </w:r>
            <w:r>
              <w:rPr>
                <w:rFonts w:hint="eastAsia" w:ascii="宋体" w:hAnsi="宋体" w:eastAsia="宋体" w:cs="宋体"/>
                <w:b/>
                <w:bCs/>
                <w:sz w:val="24"/>
                <w:szCs w:val="24"/>
              </w:rPr>
              <w:t>超过提供的每一项限价，且</w:t>
            </w:r>
            <w:r>
              <w:rPr>
                <w:rFonts w:hint="eastAsia" w:ascii="宋体" w:hAnsi="宋体" w:eastAsia="宋体" w:cs="宋体"/>
                <w:b/>
                <w:bCs/>
                <w:sz w:val="24"/>
                <w:szCs w:val="24"/>
                <w:lang w:val="en-US" w:eastAsia="zh-CN"/>
              </w:rPr>
              <w:t>两</w:t>
            </w:r>
            <w:r>
              <w:rPr>
                <w:rFonts w:hint="eastAsia" w:ascii="宋体" w:hAnsi="宋体" w:eastAsia="宋体" w:cs="宋体"/>
                <w:b/>
                <w:bCs/>
                <w:sz w:val="24"/>
                <w:szCs w:val="24"/>
              </w:rPr>
              <w:t>项报价总价最低</w:t>
            </w:r>
            <w:r>
              <w:rPr>
                <w:rFonts w:hint="eastAsia" w:ascii="宋体" w:hAnsi="宋体" w:cs="宋体"/>
                <w:b/>
                <w:bCs/>
                <w:sz w:val="24"/>
                <w:szCs w:val="24"/>
                <w:lang w:eastAsia="zh-CN"/>
              </w:rPr>
              <w:t>者</w:t>
            </w:r>
            <w:r>
              <w:rPr>
                <w:rFonts w:hint="eastAsia" w:ascii="宋体" w:hAnsi="宋体" w:eastAsia="宋体" w:cs="宋体"/>
                <w:b/>
                <w:bCs/>
                <w:sz w:val="24"/>
                <w:szCs w:val="24"/>
              </w:rPr>
              <w:t>中标。</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shd w:val="clear" w:fill="FFFFFF"/>
          <w:lang w:val="en-US" w:eastAsia="zh-CN" w:bidi="ar"/>
        </w:rPr>
      </w:pPr>
      <w:r>
        <w:rPr>
          <w:rFonts w:hint="eastAsia" w:cs="宋体"/>
          <w:b/>
          <w:bCs/>
          <w:i w:val="0"/>
          <w:iCs w:val="0"/>
          <w:caps w:val="0"/>
          <w:spacing w:val="8"/>
          <w:kern w:val="44"/>
          <w:sz w:val="33"/>
          <w:szCs w:val="33"/>
          <w:shd w:val="clear" w:fill="FFFFFF"/>
          <w:lang w:val="en-US" w:eastAsia="zh-CN" w:bidi="ar"/>
        </w:rPr>
        <w:t>东晟产业园和吴江产业园房屋及屋顶租金评估项目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bookmarkStart w:id="1" w:name="_GoBack"/>
      <w:bookmarkEnd w:id="1"/>
      <w:r>
        <w:rPr>
          <w:rFonts w:hint="eastAsia" w:cs="宋体"/>
          <w:b/>
          <w:bCs/>
          <w:i w:val="0"/>
          <w:iCs w:val="0"/>
          <w:caps w:val="0"/>
          <w:spacing w:val="8"/>
          <w:kern w:val="44"/>
          <w:sz w:val="33"/>
          <w:szCs w:val="33"/>
          <w:shd w:val="clear" w:fill="FFFFFF"/>
          <w:lang w:val="en-US" w:eastAsia="zh-CN" w:bidi="ar"/>
        </w:rPr>
        <w:t>报价表</w:t>
      </w:r>
    </w:p>
    <w:p>
      <w:pPr>
        <w:widowControl/>
        <w:spacing w:line="360" w:lineRule="auto"/>
        <w:jc w:val="center"/>
        <w:rPr>
          <w:rFonts w:ascii="宋体" w:hAnsi="宋体" w:cs="宋体"/>
          <w:b/>
          <w:kern w:val="0"/>
          <w:sz w:val="30"/>
          <w:szCs w:val="30"/>
          <w:shd w:val="clear" w:color="auto" w:fill="FFFFFF"/>
        </w:rPr>
      </w:pPr>
    </w:p>
    <w:p>
      <w:pPr>
        <w:rPr>
          <w:rFonts w:ascii="宋体" w:hAnsi="宋体" w:cs="宋体"/>
        </w:rPr>
      </w:pPr>
    </w:p>
    <w:p>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pPr>
        <w:snapToGrid w:val="0"/>
        <w:spacing w:line="480" w:lineRule="exact"/>
        <w:ind w:right="1120"/>
        <w:rPr>
          <w:rFonts w:ascii="宋体" w:hAnsi="宋体" w:cs="宋体"/>
          <w:sz w:val="28"/>
        </w:rPr>
      </w:pPr>
    </w:p>
    <w:p>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pPr>
        <w:snapToGrid w:val="0"/>
        <w:spacing w:line="480" w:lineRule="exact"/>
        <w:ind w:right="1120"/>
        <w:rPr>
          <w:rFonts w:ascii="宋体" w:hAnsi="宋体" w:cs="宋体"/>
          <w:sz w:val="28"/>
        </w:rPr>
      </w:pPr>
    </w:p>
    <w:p>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pPr>
        <w:snapToGrid w:val="0"/>
        <w:spacing w:line="480" w:lineRule="exact"/>
        <w:ind w:right="1120"/>
        <w:rPr>
          <w:rFonts w:ascii="宋体" w:hAnsi="宋体" w:cs="宋体"/>
          <w:sz w:val="28"/>
        </w:rPr>
      </w:pPr>
    </w:p>
    <w:p>
      <w:pPr>
        <w:snapToGrid w:val="0"/>
        <w:spacing w:line="480" w:lineRule="exact"/>
        <w:ind w:right="1120" w:firstLine="3640" w:firstLineChars="1300"/>
        <w:rPr>
          <w:rFonts w:ascii="宋体" w:hAnsi="宋体" w:cs="宋体"/>
          <w:sz w:val="28"/>
          <w:u w:val="single"/>
        </w:rPr>
      </w:pPr>
      <w:r>
        <w:rPr>
          <w:rFonts w:hint="eastAsia" w:ascii="宋体" w:hAnsi="宋体" w:cs="宋体"/>
          <w:sz w:val="28"/>
        </w:rPr>
        <w:t xml:space="preserve">2025年 </w:t>
      </w:r>
      <w:r>
        <w:rPr>
          <w:rFonts w:hint="eastAsia" w:ascii="宋体" w:hAnsi="宋体" w:cs="宋体"/>
          <w:sz w:val="28"/>
          <w:lang w:val="en-US" w:eastAsia="zh-CN"/>
        </w:rPr>
        <w:t>12</w:t>
      </w:r>
      <w:r>
        <w:rPr>
          <w:rFonts w:hint="eastAsia" w:ascii="宋体" w:hAnsi="宋体" w:cs="宋体"/>
          <w:sz w:val="28"/>
        </w:rPr>
        <w:t>月    日</w:t>
      </w:r>
    </w:p>
    <w:p>
      <w:pPr>
        <w:snapToGrid w:val="0"/>
        <w:spacing w:line="480" w:lineRule="exact"/>
        <w:jc w:val="center"/>
        <w:rPr>
          <w:rFonts w:ascii="宋体" w:hAnsi="宋体" w:cs="宋体"/>
          <w:sz w:val="28"/>
          <w:u w:val="single"/>
        </w:rPr>
      </w:pPr>
    </w:p>
    <w:p>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numPr>
          <w:ilvl w:val="0"/>
          <w:numId w:val="0"/>
        </w:numPr>
        <w:spacing w:before="201" w:line="379" w:lineRule="auto"/>
        <w:ind w:right="58" w:rightChars="0"/>
        <w:jc w:val="both"/>
        <w:rPr>
          <w:rFonts w:hint="default" w:ascii="宋体" w:hAnsi="Times New Roman" w:eastAsia="宋体" w:cs="Times New Roman"/>
          <w:color w:val="auto"/>
          <w:spacing w:val="-1"/>
          <w:kern w:val="0"/>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4</w:t>
      </w:r>
      <w:r>
        <w:rPr>
          <w:rFonts w:hint="eastAsia" w:ascii="宋体" w:hAnsi="宋体" w:eastAsia="宋体" w:cs="宋体"/>
          <w:b/>
          <w:sz w:val="32"/>
          <w:szCs w:val="32"/>
          <w:highlight w:val="none"/>
        </w:rPr>
        <w:t>：</w:t>
      </w:r>
    </w:p>
    <w:tbl>
      <w:tblPr>
        <w:tblStyle w:val="8"/>
        <w:tblW w:w="74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11"/>
        <w:gridCol w:w="990"/>
        <w:gridCol w:w="1798"/>
        <w:gridCol w:w="1798"/>
        <w:gridCol w:w="15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747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iCs w:val="0"/>
                <w:color w:val="000000"/>
                <w:sz w:val="32"/>
                <w:szCs w:val="32"/>
                <w:u w:val="none"/>
              </w:rPr>
            </w:pPr>
            <w:r>
              <w:rPr>
                <w:rFonts w:hint="eastAsia" w:ascii="方正大标宋简体" w:hAnsi="方正大标宋简体" w:eastAsia="方正大标宋简体" w:cs="方正大标宋简体"/>
                <w:i w:val="0"/>
                <w:iCs w:val="0"/>
                <w:color w:val="000000"/>
                <w:kern w:val="0"/>
                <w:sz w:val="32"/>
                <w:szCs w:val="32"/>
                <w:u w:val="none"/>
                <w:lang w:val="en-US" w:eastAsia="zh-CN" w:bidi="ar"/>
              </w:rPr>
              <w:t>东晟智造产业园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层数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建筑面积（㎡）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屋顶面积（㎡）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A1厂房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6283.13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4543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A2厂房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5866.53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A3厂房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10699.98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B1厂房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11395.12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4693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B2厂房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13503.93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5526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B3厂房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11216.66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4470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C1厂房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6618.52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C2厂房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6618.52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C3厂房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6618.52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综合楼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-1F+8F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19045.82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97866.73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37820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jc w:val="center"/>
        </w:trPr>
        <w:tc>
          <w:tcPr>
            <w:tcW w:w="7470" w:type="dxa"/>
            <w:gridSpan w:val="5"/>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备注：1、询价单位：启东晟惠科技产业发展有限公司；2、此次为房屋（办公、研发、生产、仓储）及屋顶（光伏安装出租）租金评估。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方正大标宋简体" w:hAnsi="方正大标宋简体" w:eastAsia="方正大标宋简体" w:cs="方正大标宋简体"/>
                <w:i w:val="0"/>
                <w:iCs w:val="0"/>
                <w:color w:val="000000"/>
                <w:sz w:val="32"/>
                <w:szCs w:val="32"/>
                <w:u w:val="none"/>
              </w:rPr>
            </w:pPr>
            <w:r>
              <w:rPr>
                <w:rFonts w:hint="eastAsia" w:ascii="方正大标宋简体" w:hAnsi="方正大标宋简体" w:eastAsia="方正大标宋简体" w:cs="方正大标宋简体"/>
                <w:i w:val="0"/>
                <w:iCs w:val="0"/>
                <w:color w:val="000000"/>
                <w:kern w:val="0"/>
                <w:sz w:val="32"/>
                <w:szCs w:val="32"/>
                <w:u w:val="none"/>
                <w:lang w:val="en-US" w:eastAsia="zh-CN" w:bidi="ar"/>
              </w:rPr>
              <w:t>启东·吴江高端制造产业园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层数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建筑面积（㎡）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屋顶面积（㎡）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1号厂房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11409.05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3642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2号厂房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11409.05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3642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3号厂房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10312.56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4号厂房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8231.53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5号厂房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8231.53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6号综合楼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-1F+6F</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8400.48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1425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屋顶安装光伏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57994.2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17405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7470" w:type="dxa"/>
            <w:gridSpan w:val="5"/>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备注：1、询价单位：江苏晟湖投资建设有限公司；2、此次为房屋（办公、研发、生产、仓储）及屋顶（光伏安装出租）租金评估。</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p>
    <w:p>
      <w:pPr>
        <w:pStyle w:val="4"/>
        <w:numPr>
          <w:ilvl w:val="0"/>
          <w:numId w:val="0"/>
        </w:numPr>
        <w:spacing w:before="201" w:line="379" w:lineRule="auto"/>
        <w:ind w:right="58" w:rightChars="0"/>
        <w:jc w:val="both"/>
        <w:rPr>
          <w:rFonts w:hint="default" w:ascii="宋体" w:hAnsi="Times New Roman" w:eastAsia="宋体" w:cs="Times New Roman"/>
          <w:color w:val="auto"/>
          <w:spacing w:val="-1"/>
          <w:kern w:val="0"/>
          <w:sz w:val="24"/>
          <w:szCs w:val="24"/>
          <w:lang w:val="en-US" w:eastAsia="zh-CN" w:bidi="ar-SA"/>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大标宋简体">
    <w:panose1 w:val="03000509000000000000"/>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3" w:lineRule="auto"/>
      <w:ind w:left="4134"/>
      <w:rPr>
        <w:rFonts w:ascii="Times New Roman" w:hAnsi="Times New Roman" w:eastAsia="Times New Roman" w:cs="Times New Roman"/>
        <w:sz w:val="18"/>
        <w:szCs w:val="18"/>
      </w:rPr>
    </w:pPr>
    <w:r>
      <w:rPr>
        <w:rFonts w:ascii="Times New Roman" w:hAnsi="Times New Roman" w:eastAsia="Times New Roman" w:cs="Times New Roman"/>
        <w:sz w:val="18"/>
        <w:szCs w:val="18"/>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6D7D6C0F"/>
    <w:rsid w:val="000218D3"/>
    <w:rsid w:val="00962EDD"/>
    <w:rsid w:val="04BC244D"/>
    <w:rsid w:val="05311481"/>
    <w:rsid w:val="055938AD"/>
    <w:rsid w:val="0704289C"/>
    <w:rsid w:val="092959CA"/>
    <w:rsid w:val="09DB7DBB"/>
    <w:rsid w:val="0AC51722"/>
    <w:rsid w:val="0ADE63E5"/>
    <w:rsid w:val="0DBC5C1A"/>
    <w:rsid w:val="0E6315C5"/>
    <w:rsid w:val="106477BA"/>
    <w:rsid w:val="14143273"/>
    <w:rsid w:val="1575372B"/>
    <w:rsid w:val="175045F4"/>
    <w:rsid w:val="1B815404"/>
    <w:rsid w:val="1B9B32DA"/>
    <w:rsid w:val="1BCB79CF"/>
    <w:rsid w:val="20BD2949"/>
    <w:rsid w:val="28452AD3"/>
    <w:rsid w:val="29FA62BD"/>
    <w:rsid w:val="2E9A064C"/>
    <w:rsid w:val="30036D60"/>
    <w:rsid w:val="30427438"/>
    <w:rsid w:val="306F48DA"/>
    <w:rsid w:val="31293EDE"/>
    <w:rsid w:val="345064F0"/>
    <w:rsid w:val="36957BA7"/>
    <w:rsid w:val="39185A0F"/>
    <w:rsid w:val="3B4C09D1"/>
    <w:rsid w:val="3B8D1DF5"/>
    <w:rsid w:val="3BBC2CE5"/>
    <w:rsid w:val="3C994AED"/>
    <w:rsid w:val="3DBC39CC"/>
    <w:rsid w:val="3E7F33BB"/>
    <w:rsid w:val="3F2371A0"/>
    <w:rsid w:val="43B61CF6"/>
    <w:rsid w:val="44DB7E0C"/>
    <w:rsid w:val="45244CBC"/>
    <w:rsid w:val="462066BC"/>
    <w:rsid w:val="47EB65A3"/>
    <w:rsid w:val="481F2412"/>
    <w:rsid w:val="4939626A"/>
    <w:rsid w:val="4B914433"/>
    <w:rsid w:val="4D9B201E"/>
    <w:rsid w:val="4EB90777"/>
    <w:rsid w:val="4EE22CCA"/>
    <w:rsid w:val="59FF4207"/>
    <w:rsid w:val="5B0A7A49"/>
    <w:rsid w:val="5CCF7B21"/>
    <w:rsid w:val="5D6B3030"/>
    <w:rsid w:val="5F57500B"/>
    <w:rsid w:val="5FA95BAB"/>
    <w:rsid w:val="62AB0C35"/>
    <w:rsid w:val="62EA0BF5"/>
    <w:rsid w:val="64447028"/>
    <w:rsid w:val="676F4121"/>
    <w:rsid w:val="6A574A58"/>
    <w:rsid w:val="6B827079"/>
    <w:rsid w:val="6C38347F"/>
    <w:rsid w:val="6D7D6C0F"/>
    <w:rsid w:val="6E345B45"/>
    <w:rsid w:val="70005A34"/>
    <w:rsid w:val="73586254"/>
    <w:rsid w:val="750F2E33"/>
    <w:rsid w:val="765E32DA"/>
    <w:rsid w:val="78D22081"/>
    <w:rsid w:val="7CC03401"/>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
    <w:autoRedefine/>
    <w:qFormat/>
    <w:uiPriority w:val="0"/>
    <w:pPr>
      <w:widowControl/>
    </w:pPr>
    <w:rPr>
      <w:kern w:val="0"/>
      <w:szCs w:val="21"/>
    </w:rPr>
  </w:style>
  <w:style w:type="paragraph" w:customStyle="1" w:styleId="12">
    <w:name w:val="Table Text"/>
    <w:basedOn w:val="1"/>
    <w:autoRedefine/>
    <w:semiHidden/>
    <w:qFormat/>
    <w:uiPriority w:val="0"/>
    <w:rPr>
      <w:rFonts w:ascii="宋体" w:hAnsi="宋体" w:eastAsia="宋体" w:cs="宋体"/>
      <w:sz w:val="28"/>
      <w:szCs w:val="28"/>
      <w:lang w:val="en-US" w:eastAsia="en-US" w:bidi="ar-SA"/>
    </w:rPr>
  </w:style>
  <w:style w:type="table" w:customStyle="1" w:styleId="13">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966</Words>
  <Characters>980</Characters>
  <Lines>3</Lines>
  <Paragraphs>4</Paragraphs>
  <TotalTime>1</TotalTime>
  <ScaleCrop>false</ScaleCrop>
  <LinksUpToDate>false</LinksUpToDate>
  <CharactersWithSpaces>1222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微微</cp:lastModifiedBy>
  <cp:lastPrinted>2025-05-29T03:32:00Z</cp:lastPrinted>
  <dcterms:modified xsi:type="dcterms:W3CDTF">2025-11-28T08:53:23Z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BB087FB57DA9414BBD7BE00EA7654121_13</vt:lpwstr>
  </property>
  <property fmtid="{D5CDD505-2E9C-101B-9397-08002B2CF9AE}" pid="4" name="KSOTemplateDocerSaveRecord">
    <vt:lpwstr>eyJoZGlkIjoiN2JjYTk1ZGI5ODBjMGI1ODI5YWM1YWRiYzliMjUyYmQiLCJ1c2VySWQiOiI0Njg4ODY0ODUifQ==</vt:lpwstr>
  </property>
</Properties>
</file>